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0F" w:rsidRDefault="001F260F" w:rsidP="001F260F">
      <w:pPr>
        <w:shd w:val="clear" w:color="auto" w:fill="FFFFFF"/>
        <w:jc w:val="center"/>
        <w:rPr>
          <w:rFonts w:ascii="Arial" w:hAnsi="Arial" w:cs="Arial"/>
          <w:color w:val="000000"/>
          <w:sz w:val="23"/>
          <w:szCs w:val="23"/>
        </w:rPr>
      </w:pPr>
      <w:r>
        <w:rPr>
          <w:rFonts w:ascii="Arial" w:hAnsi="Arial" w:cs="Arial"/>
          <w:color w:val="000000"/>
          <w:sz w:val="23"/>
          <w:szCs w:val="23"/>
        </w:rPr>
        <w:t>JORF n°0160 du 30 juin 2020</w:t>
      </w:r>
      <w:r>
        <w:rPr>
          <w:rFonts w:ascii="Arial" w:hAnsi="Arial" w:cs="Arial"/>
          <w:color w:val="000000"/>
          <w:sz w:val="23"/>
          <w:szCs w:val="23"/>
        </w:rPr>
        <w:br/>
        <w:t>texte n° 52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Style w:val="lev"/>
          <w:rFonts w:ascii="Arial" w:hAnsi="Arial" w:cs="Arial"/>
          <w:color w:val="000000"/>
          <w:sz w:val="23"/>
          <w:szCs w:val="23"/>
        </w:rPr>
        <w:t>Décret n° 2020-810 du 29 juin 2020 portant modulation temporaire du taux horaire de l'allocation d'activité partielle</w:t>
      </w:r>
      <w:r>
        <w:rPr>
          <w:rFonts w:ascii="Arial" w:hAnsi="Arial" w:cs="Arial"/>
          <w:color w:val="000000"/>
          <w:sz w:val="23"/>
          <w:szCs w:val="23"/>
        </w:rPr>
        <w:br/>
      </w:r>
      <w:r>
        <w:rPr>
          <w:rFonts w:ascii="Arial" w:hAnsi="Arial" w:cs="Arial"/>
          <w:color w:val="000000"/>
          <w:sz w:val="23"/>
          <w:szCs w:val="23"/>
        </w:rPr>
        <w:br/>
        <w:t>NOR: MTRD2016242D</w:t>
      </w:r>
    </w:p>
    <w:p w:rsidR="001F260F" w:rsidRDefault="001F260F" w:rsidP="001F260F">
      <w:pPr>
        <w:shd w:val="clear" w:color="auto" w:fill="FFFFFF"/>
        <w:jc w:val="center"/>
        <w:rPr>
          <w:rFonts w:ascii="Arial" w:hAnsi="Arial" w:cs="Arial"/>
          <w:color w:val="000000"/>
          <w:sz w:val="20"/>
          <w:szCs w:val="20"/>
        </w:rPr>
      </w:pPr>
      <w:r>
        <w:rPr>
          <w:rFonts w:ascii="Arial" w:hAnsi="Arial" w:cs="Arial"/>
          <w:color w:val="000000"/>
          <w:sz w:val="20"/>
          <w:szCs w:val="20"/>
        </w:rPr>
        <w:t xml:space="preserve">ELI: </w:t>
      </w:r>
      <w:hyperlink r:id="rId5" w:history="1">
        <w:r>
          <w:rPr>
            <w:rStyle w:val="Lienhypertexte"/>
            <w:rFonts w:ascii="Arial" w:hAnsi="Arial" w:cs="Arial"/>
            <w:sz w:val="20"/>
            <w:szCs w:val="20"/>
          </w:rPr>
          <w:t>https://www.legifrance.gouv.fr/eli/decret/2020/6/29/MTRD2016242D/jo/texte</w:t>
        </w:r>
      </w:hyperlink>
      <w:r>
        <w:rPr>
          <w:rFonts w:ascii="Arial" w:hAnsi="Arial" w:cs="Arial"/>
          <w:color w:val="000000"/>
          <w:sz w:val="20"/>
          <w:szCs w:val="20"/>
        </w:rPr>
        <w:br/>
        <w:t xml:space="preserve">Alias: </w:t>
      </w:r>
      <w:hyperlink r:id="rId6" w:history="1">
        <w:r>
          <w:rPr>
            <w:rStyle w:val="Lienhypertexte"/>
            <w:rFonts w:ascii="Arial" w:hAnsi="Arial" w:cs="Arial"/>
            <w:sz w:val="20"/>
            <w:szCs w:val="20"/>
          </w:rPr>
          <w:t>https://www.legifrance.gouv.fr/eli/decret/2020/6/29/2020-810/jo/texte</w:t>
        </w:r>
      </w:hyperlink>
    </w:p>
    <w:p w:rsidR="001F260F" w:rsidRDefault="001F260F" w:rsidP="001F260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br/>
        <w:t>Publics concernés : employeurs, salariés, Agence de services et de paiement.</w:t>
      </w:r>
      <w:r>
        <w:rPr>
          <w:rFonts w:ascii="Arial" w:hAnsi="Arial" w:cs="Arial"/>
          <w:color w:val="000000"/>
          <w:sz w:val="19"/>
          <w:szCs w:val="19"/>
        </w:rPr>
        <w:br/>
        <w:t>Objet : modulation temporaire du taux de l'allocation d'activité partielle.</w:t>
      </w:r>
      <w:r>
        <w:rPr>
          <w:rFonts w:ascii="Arial" w:hAnsi="Arial" w:cs="Arial"/>
          <w:color w:val="000000"/>
          <w:sz w:val="19"/>
          <w:szCs w:val="19"/>
        </w:rPr>
        <w:br/>
        <w:t>Entrée en vigueur : le texte entre en vigueur immédiatement.</w:t>
      </w:r>
      <w:r>
        <w:rPr>
          <w:rFonts w:ascii="Arial" w:hAnsi="Arial" w:cs="Arial"/>
          <w:color w:val="000000"/>
          <w:sz w:val="19"/>
          <w:szCs w:val="19"/>
        </w:rPr>
        <w:br/>
        <w:t>Notice : le décret fixe le taux horaire de l'allocation d'activité partielle applicable à compter du 1er juin 2020 et jusqu'au 30 septembre 2020. Il fixe également la liste des secteurs relevant du tourisme, de l'hôtellerie, de la restauration, du sport, de la culture, du transport aérien et de l'évènementiel qui sont particulièrement affectés par les conséquences économiques et financières de la propagation de l'épidémie de covid-19 au regard de la réduction de leur activité en raison notamment de leur dépendance à l'accueil du public et dont les employeurs bénéficient, à ce titre, d'un taux majoré d'allocation d'activité partielle. Il fixe en outre la liste des secteurs dont l'activité dépend de celles des secteurs mentionnés précédemment et dans lesquels les employeurs bénéficient également d'un taux majoré d'allocation d'activité partielle lorsqu'ils subissent une très forte baisse de chiffre d'affaires. Il détermine enfin les modalités d'appréciation de la baisse du chiffre d'affaires des employeurs pouvant bénéficier du taux majoré d'allocation d'activité partielle.</w:t>
      </w:r>
      <w:r>
        <w:rPr>
          <w:rFonts w:ascii="Arial" w:hAnsi="Arial" w:cs="Arial"/>
          <w:color w:val="000000"/>
          <w:sz w:val="19"/>
          <w:szCs w:val="19"/>
        </w:rPr>
        <w:br/>
        <w:t>Références : le décret peut être consulté sur le site Légifrance (</w:t>
      </w:r>
      <w:hyperlink r:id="rId7" w:history="1">
        <w:r>
          <w:rPr>
            <w:rStyle w:val="Lienhypertexte"/>
            <w:rFonts w:ascii="Arial" w:hAnsi="Arial" w:cs="Arial"/>
            <w:sz w:val="19"/>
            <w:szCs w:val="19"/>
          </w:rPr>
          <w:t>https://www.legifrance.gouv.fr</w:t>
        </w:r>
      </w:hyperlink>
      <w:r>
        <w:rPr>
          <w:rFonts w:ascii="Arial" w:hAnsi="Arial" w:cs="Arial"/>
          <w:color w:val="000000"/>
          <w:sz w:val="19"/>
          <w:szCs w:val="19"/>
        </w:rPr>
        <w:t>).</w:t>
      </w:r>
    </w:p>
    <w:p w:rsidR="001F260F" w:rsidRDefault="001F260F" w:rsidP="001F260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br/>
        <w:t>Le Premier ministre,</w:t>
      </w:r>
      <w:r>
        <w:rPr>
          <w:rFonts w:ascii="Arial" w:hAnsi="Arial" w:cs="Arial"/>
          <w:color w:val="000000"/>
          <w:sz w:val="19"/>
          <w:szCs w:val="19"/>
        </w:rPr>
        <w:br/>
        <w:t>Sur le rapport de la ministre du travail,</w:t>
      </w:r>
      <w:r>
        <w:rPr>
          <w:rFonts w:ascii="Arial" w:hAnsi="Arial" w:cs="Arial"/>
          <w:color w:val="000000"/>
          <w:sz w:val="19"/>
          <w:szCs w:val="19"/>
        </w:rPr>
        <w:br/>
        <w:t>Vu le traité sur le fonctionnement de l'Union européenne, notamment ses articles 107 et 108 ;</w:t>
      </w:r>
      <w:r>
        <w:rPr>
          <w:rFonts w:ascii="Arial" w:hAnsi="Arial" w:cs="Arial"/>
          <w:color w:val="000000"/>
          <w:sz w:val="19"/>
          <w:szCs w:val="19"/>
        </w:rPr>
        <w:br/>
        <w:t>Vu la décision de la Commission européenne C (2020) 4512 du 29 juin 2020 relative à l'aide d'Etat SA.57754 (2020/N) - France COVID-19 : Dispositif d'activité partielle ad hoc ;</w:t>
      </w:r>
      <w:r>
        <w:rPr>
          <w:rFonts w:ascii="Arial" w:hAnsi="Arial" w:cs="Arial"/>
          <w:color w:val="000000"/>
          <w:sz w:val="19"/>
          <w:szCs w:val="19"/>
        </w:rPr>
        <w:br/>
        <w:t>Vu le </w:t>
      </w:r>
      <w:hyperlink r:id="rId8" w:history="1">
        <w:r>
          <w:rPr>
            <w:rStyle w:val="Lienhypertexte"/>
            <w:rFonts w:ascii="Arial" w:hAnsi="Arial" w:cs="Arial"/>
            <w:color w:val="336699"/>
            <w:sz w:val="19"/>
            <w:szCs w:val="19"/>
          </w:rPr>
          <w:t>code civil</w:t>
        </w:r>
      </w:hyperlink>
      <w:r>
        <w:rPr>
          <w:rFonts w:ascii="Arial" w:hAnsi="Arial" w:cs="Arial"/>
          <w:color w:val="000000"/>
          <w:sz w:val="19"/>
          <w:szCs w:val="19"/>
        </w:rPr>
        <w:t>, notamment son article 1er ;</w:t>
      </w:r>
      <w:r>
        <w:rPr>
          <w:rFonts w:ascii="Arial" w:hAnsi="Arial" w:cs="Arial"/>
          <w:color w:val="000000"/>
          <w:sz w:val="19"/>
          <w:szCs w:val="19"/>
        </w:rPr>
        <w:br/>
        <w:t>Vu le </w:t>
      </w:r>
      <w:hyperlink r:id="rId9" w:history="1">
        <w:r>
          <w:rPr>
            <w:rStyle w:val="Lienhypertexte"/>
            <w:rFonts w:ascii="Arial" w:hAnsi="Arial" w:cs="Arial"/>
            <w:color w:val="336699"/>
            <w:sz w:val="19"/>
            <w:szCs w:val="19"/>
          </w:rPr>
          <w:t>code du travail</w:t>
        </w:r>
      </w:hyperlink>
      <w:r>
        <w:rPr>
          <w:rFonts w:ascii="Arial" w:hAnsi="Arial" w:cs="Arial"/>
          <w:color w:val="000000"/>
          <w:sz w:val="19"/>
          <w:szCs w:val="19"/>
        </w:rPr>
        <w:t>, notamment ses articles L. 5122-1 à L. 5122-5 ;</w:t>
      </w:r>
      <w:r>
        <w:rPr>
          <w:rFonts w:ascii="Arial" w:hAnsi="Arial" w:cs="Arial"/>
          <w:color w:val="000000"/>
          <w:sz w:val="19"/>
          <w:szCs w:val="19"/>
        </w:rPr>
        <w:br/>
        <w:t>Vu la </w:t>
      </w:r>
      <w:hyperlink r:id="rId10" w:history="1">
        <w:r>
          <w:rPr>
            <w:rStyle w:val="Lienhypertexte"/>
            <w:rFonts w:ascii="Arial" w:hAnsi="Arial" w:cs="Arial"/>
            <w:color w:val="336699"/>
            <w:sz w:val="19"/>
            <w:szCs w:val="19"/>
          </w:rPr>
          <w:t>loi n° 2020-734 du 17 juin 2020</w:t>
        </w:r>
      </w:hyperlink>
      <w:r>
        <w:rPr>
          <w:rFonts w:ascii="Arial" w:hAnsi="Arial" w:cs="Arial"/>
          <w:color w:val="000000"/>
          <w:sz w:val="19"/>
          <w:szCs w:val="19"/>
        </w:rPr>
        <w:t> relative à diverses dispositions liées à la crise sanitaire, à d'autres mesures urgentes ainsi qu'au retrait du Royaume-Uni de l'Union européenne, notamment son article 1er ;</w:t>
      </w:r>
      <w:r>
        <w:rPr>
          <w:rFonts w:ascii="Arial" w:hAnsi="Arial" w:cs="Arial"/>
          <w:color w:val="000000"/>
          <w:sz w:val="19"/>
          <w:szCs w:val="19"/>
        </w:rPr>
        <w:br/>
        <w:t>Vu l'</w:t>
      </w:r>
      <w:hyperlink r:id="rId11" w:history="1">
        <w:r>
          <w:rPr>
            <w:rStyle w:val="Lienhypertexte"/>
            <w:rFonts w:ascii="Arial" w:hAnsi="Arial" w:cs="Arial"/>
            <w:color w:val="336699"/>
            <w:sz w:val="19"/>
            <w:szCs w:val="19"/>
          </w:rPr>
          <w:t>ordonnance n° 2020-770 du 24 juin 2020</w:t>
        </w:r>
      </w:hyperlink>
      <w:r>
        <w:rPr>
          <w:rFonts w:ascii="Arial" w:hAnsi="Arial" w:cs="Arial"/>
          <w:color w:val="000000"/>
          <w:sz w:val="19"/>
          <w:szCs w:val="19"/>
        </w:rPr>
        <w:t> relative à l'adaptation du taux horaire de l'allocation d'activité partielle ;</w:t>
      </w:r>
      <w:r>
        <w:rPr>
          <w:rFonts w:ascii="Arial" w:hAnsi="Arial" w:cs="Arial"/>
          <w:color w:val="000000"/>
          <w:sz w:val="19"/>
          <w:szCs w:val="19"/>
        </w:rPr>
        <w:br/>
        <w:t>Vu l'avis de la Commission nationale de la négociation collective, de l'emploi et de la formation professionnelle en date du 17 juin 2020 ;</w:t>
      </w:r>
      <w:r>
        <w:rPr>
          <w:rFonts w:ascii="Arial" w:hAnsi="Arial" w:cs="Arial"/>
          <w:color w:val="000000"/>
          <w:sz w:val="19"/>
          <w:szCs w:val="19"/>
        </w:rPr>
        <w:br/>
        <w:t>Vu l'urgence,</w:t>
      </w:r>
      <w:r>
        <w:rPr>
          <w:rFonts w:ascii="Arial" w:hAnsi="Arial" w:cs="Arial"/>
          <w:color w:val="000000"/>
          <w:sz w:val="19"/>
          <w:szCs w:val="19"/>
        </w:rPr>
        <w:br/>
        <w:t>Décrète :</w:t>
      </w:r>
    </w:p>
    <w:p w:rsidR="001F260F" w:rsidRDefault="001F260F" w:rsidP="001F260F">
      <w:pPr>
        <w:shd w:val="clear" w:color="auto" w:fill="FFFFFF"/>
        <w:jc w:val="center"/>
        <w:rPr>
          <w:rFonts w:ascii="Arial" w:hAnsi="Arial" w:cs="Arial"/>
          <w:b/>
          <w:bCs/>
          <w:color w:val="000000"/>
          <w:sz w:val="23"/>
          <w:szCs w:val="23"/>
        </w:rPr>
      </w:pPr>
      <w:bookmarkStart w:id="0" w:name="JORFARTI000042056546"/>
      <w:bookmarkEnd w:id="0"/>
      <w:r>
        <w:rPr>
          <w:rFonts w:ascii="Arial" w:hAnsi="Arial" w:cs="Arial"/>
          <w:b/>
          <w:bCs/>
          <w:color w:val="000000"/>
          <w:sz w:val="23"/>
          <w:szCs w:val="23"/>
        </w:rPr>
        <w:t>Article 1 </w:t>
      </w:r>
      <w:hyperlink r:id="rId12" w:tooltip="En savoir plus sur l'article 1" w:history="1">
        <w:r>
          <w:rPr>
            <w:rStyle w:val="Lienhypertexte"/>
            <w:rFonts w:ascii="Arial" w:hAnsi="Arial" w:cs="Arial"/>
            <w:b/>
            <w:bCs/>
            <w:color w:val="336699"/>
            <w:sz w:val="23"/>
            <w:szCs w:val="23"/>
          </w:rPr>
          <w:t>En savoir plus sur cet article...</w:t>
        </w:r>
      </w:hyperlink>
    </w:p>
    <w:p w:rsidR="001F260F" w:rsidRDefault="001F260F" w:rsidP="001F260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br/>
        <w:t>I. - Par dérogation à l'</w:t>
      </w:r>
      <w:hyperlink r:id="rId13" w:history="1">
        <w:r>
          <w:rPr>
            <w:rStyle w:val="Lienhypertexte"/>
            <w:rFonts w:ascii="Arial" w:hAnsi="Arial" w:cs="Arial"/>
            <w:color w:val="336699"/>
            <w:sz w:val="19"/>
            <w:szCs w:val="19"/>
          </w:rPr>
          <w:t>article D. 5122-13 du code du travail</w:t>
        </w:r>
      </w:hyperlink>
      <w:r>
        <w:rPr>
          <w:rFonts w:ascii="Arial" w:hAnsi="Arial" w:cs="Arial"/>
          <w:color w:val="000000"/>
          <w:sz w:val="19"/>
          <w:szCs w:val="19"/>
        </w:rPr>
        <w:t>, le taux horaire de l'allocation d'activité partielle est fixé à 60 % de la rémunération horaire brute telle que calculée à l'article R. 5122-12 du même code, limitée à 4,5 fois le taux horaire du salaire minimum interprofessionnel de croissance.</w:t>
      </w:r>
      <w:r>
        <w:rPr>
          <w:rFonts w:ascii="Arial" w:hAnsi="Arial" w:cs="Arial"/>
          <w:color w:val="000000"/>
          <w:sz w:val="19"/>
          <w:szCs w:val="19"/>
        </w:rPr>
        <w:br/>
        <w:t>II. - Par dérogation au I, le taux horaire de l'allocation d'activité partielle est fixé à 70 % pour :</w:t>
      </w:r>
      <w:r>
        <w:rPr>
          <w:rFonts w:ascii="Arial" w:hAnsi="Arial" w:cs="Arial"/>
          <w:color w:val="000000"/>
          <w:sz w:val="19"/>
          <w:szCs w:val="19"/>
        </w:rPr>
        <w:br/>
        <w:t>1° Les employeurs qui exercent leur activité principale dans les secteurs mentionnés à l'annexe 1 du présent décret ;</w:t>
      </w:r>
      <w:r>
        <w:rPr>
          <w:rFonts w:ascii="Arial" w:hAnsi="Arial" w:cs="Arial"/>
          <w:color w:val="000000"/>
          <w:sz w:val="19"/>
          <w:szCs w:val="19"/>
        </w:rPr>
        <w:br/>
        <w:t>2° Les employeurs qui exercent leur activité principale dans les secteurs mentionnés à l'annexe 2 du présent décret lorsqu'ils ont subi une diminution de chiffre d'affaires d'au moins 80 % durant la période comprise entre le 15 mars et le 15 mai 2020. Cette diminution est appréciée :</w:t>
      </w:r>
    </w:p>
    <w:p w:rsidR="001F260F" w:rsidRDefault="001F260F" w:rsidP="001F260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br/>
        <w:t>- soit par rapport au chiffre d'affaires constaté au cours de la même période de l'année précédente ;</w:t>
      </w:r>
      <w:r>
        <w:rPr>
          <w:rFonts w:ascii="Arial" w:hAnsi="Arial" w:cs="Arial"/>
          <w:color w:val="000000"/>
          <w:sz w:val="19"/>
          <w:szCs w:val="19"/>
        </w:rPr>
        <w:br/>
        <w:t>- soit, s'ils le souhaitent, par rapport au chiffre d'affaires mensuel moyen de l'année 2019 ramené sur deux mois.</w:t>
      </w:r>
    </w:p>
    <w:p w:rsidR="001F260F" w:rsidRDefault="001F260F" w:rsidP="001F260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lastRenderedPageBreak/>
        <w:br/>
        <w:t>Pour les employeurs des structures créées après le 15 mars 2019, la perte de chiffre d'affaires est appréciée par rapport au chiffre d'affaires mensuel moyen sur la période comprise entre la date de création de la structure et le 15 mars 2020 ramené sur deux mois ;</w:t>
      </w:r>
      <w:r>
        <w:rPr>
          <w:rFonts w:ascii="Arial" w:hAnsi="Arial" w:cs="Arial"/>
          <w:color w:val="000000"/>
          <w:sz w:val="19"/>
          <w:szCs w:val="19"/>
        </w:rPr>
        <w:br/>
        <w:t>3° Les employeurs mentionnés au </w:t>
      </w:r>
      <w:hyperlink r:id="rId14" w:history="1">
        <w:r>
          <w:rPr>
            <w:rStyle w:val="Lienhypertexte"/>
            <w:rFonts w:ascii="Arial" w:hAnsi="Arial" w:cs="Arial"/>
            <w:color w:val="336699"/>
            <w:sz w:val="19"/>
            <w:szCs w:val="19"/>
          </w:rPr>
          <w:t>II de l'article 1er de l'ordonnance du 24 juin 2020 susvisée</w:t>
        </w:r>
      </w:hyperlink>
      <w:r>
        <w:rPr>
          <w:rFonts w:ascii="Arial" w:hAnsi="Arial" w:cs="Arial"/>
          <w:color w:val="000000"/>
          <w:sz w:val="19"/>
          <w:szCs w:val="19"/>
        </w:rPr>
        <w:t> pour la durée durant laquelle leur activité est interrompue du fait de la propagation de l'épidémie en application d'une obligation légale ou réglementaire ou d'une décision administrative.</w:t>
      </w:r>
    </w:p>
    <w:p w:rsidR="001F260F" w:rsidRDefault="001F260F" w:rsidP="001F260F">
      <w:pPr>
        <w:shd w:val="clear" w:color="auto" w:fill="FFFFFF"/>
        <w:jc w:val="center"/>
        <w:rPr>
          <w:rFonts w:ascii="Arial" w:hAnsi="Arial" w:cs="Arial"/>
          <w:b/>
          <w:bCs/>
          <w:color w:val="000000"/>
          <w:sz w:val="23"/>
          <w:szCs w:val="23"/>
        </w:rPr>
      </w:pPr>
      <w:bookmarkStart w:id="1" w:name="JORFARTI000042056549"/>
      <w:bookmarkEnd w:id="1"/>
      <w:r>
        <w:rPr>
          <w:rFonts w:ascii="Arial" w:hAnsi="Arial" w:cs="Arial"/>
          <w:b/>
          <w:bCs/>
          <w:color w:val="000000"/>
          <w:sz w:val="23"/>
          <w:szCs w:val="23"/>
        </w:rPr>
        <w:t>Article 2</w:t>
      </w:r>
    </w:p>
    <w:p w:rsidR="001F260F" w:rsidRDefault="001F260F" w:rsidP="001F260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br/>
        <w:t>Les dispositions de l'article 1er s'appliquent aux demandes d'indemnisation adressées à l'Agence de services et de paiement au titre des heures chômées par les salariés depuis le 1er juin 2020 et jusqu'au 30 septembre 2020.</w:t>
      </w:r>
    </w:p>
    <w:p w:rsidR="001F260F" w:rsidRDefault="001F260F" w:rsidP="001F260F">
      <w:pPr>
        <w:shd w:val="clear" w:color="auto" w:fill="FFFFFF"/>
        <w:jc w:val="center"/>
        <w:rPr>
          <w:rFonts w:ascii="Arial" w:hAnsi="Arial" w:cs="Arial"/>
          <w:b/>
          <w:bCs/>
          <w:color w:val="000000"/>
          <w:sz w:val="23"/>
          <w:szCs w:val="23"/>
        </w:rPr>
      </w:pPr>
      <w:bookmarkStart w:id="2" w:name="JORFARTI000042056551"/>
      <w:bookmarkEnd w:id="2"/>
      <w:r>
        <w:rPr>
          <w:rFonts w:ascii="Arial" w:hAnsi="Arial" w:cs="Arial"/>
          <w:b/>
          <w:bCs/>
          <w:color w:val="000000"/>
          <w:sz w:val="23"/>
          <w:szCs w:val="23"/>
        </w:rPr>
        <w:t>Article 3</w:t>
      </w:r>
    </w:p>
    <w:p w:rsidR="001F260F" w:rsidRDefault="001F260F" w:rsidP="001F260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br/>
        <w:t>La ministre du travail est chargée de l'exécution du présent décret, qui sera publié au Journal officiel de la République française et entrera en vigueur immédiatement.</w:t>
      </w:r>
    </w:p>
    <w:p w:rsidR="001F260F" w:rsidRDefault="001F260F" w:rsidP="001F260F">
      <w:pPr>
        <w:numPr>
          <w:ilvl w:val="0"/>
          <w:numId w:val="1"/>
        </w:numPr>
        <w:shd w:val="clear" w:color="auto" w:fill="FFFFFF"/>
        <w:spacing w:before="100" w:beforeAutospacing="1" w:after="100" w:afterAutospacing="1"/>
        <w:ind w:left="180"/>
        <w:rPr>
          <w:rFonts w:ascii="Arial" w:hAnsi="Arial" w:cs="Arial"/>
          <w:color w:val="000000"/>
          <w:sz w:val="29"/>
          <w:szCs w:val="29"/>
        </w:rPr>
      </w:pPr>
      <w:r>
        <w:rPr>
          <w:rFonts w:ascii="Arial" w:hAnsi="Arial" w:cs="Arial"/>
          <w:color w:val="000000"/>
          <w:sz w:val="29"/>
          <w:szCs w:val="29"/>
        </w:rPr>
        <w:t>Annexe</w:t>
      </w:r>
    </w:p>
    <w:p w:rsidR="001F260F" w:rsidRDefault="001F260F" w:rsidP="001F260F">
      <w:pPr>
        <w:pStyle w:val="NormalWeb"/>
        <w:shd w:val="clear" w:color="auto" w:fill="FFFFFF"/>
        <w:spacing w:before="0" w:beforeAutospacing="0" w:after="0" w:afterAutospacing="0"/>
        <w:ind w:left="180"/>
        <w:rPr>
          <w:rFonts w:ascii="Arial" w:hAnsi="Arial" w:cs="Arial"/>
          <w:color w:val="000000"/>
          <w:sz w:val="19"/>
          <w:szCs w:val="19"/>
        </w:rPr>
      </w:pPr>
      <w:bookmarkStart w:id="3" w:name="JORFARTI000042056555"/>
      <w:bookmarkEnd w:id="3"/>
      <w:r>
        <w:rPr>
          <w:rFonts w:ascii="Arial" w:hAnsi="Arial" w:cs="Arial"/>
          <w:color w:val="000000"/>
          <w:sz w:val="19"/>
          <w:szCs w:val="19"/>
        </w:rPr>
        <w:br/>
        <w:t>ANNEXES</w:t>
      </w:r>
      <w:r>
        <w:rPr>
          <w:rFonts w:ascii="Arial" w:hAnsi="Arial" w:cs="Arial"/>
          <w:color w:val="000000"/>
          <w:sz w:val="19"/>
          <w:szCs w:val="19"/>
        </w:rPr>
        <w:br/>
        <w:t>ANNEXE 1</w:t>
      </w:r>
    </w:p>
    <w:p w:rsidR="001F260F" w:rsidRDefault="001F260F" w:rsidP="001F260F">
      <w:pPr>
        <w:pStyle w:val="NormalWeb"/>
        <w:shd w:val="clear" w:color="auto" w:fill="FFFFFF"/>
        <w:spacing w:before="0" w:beforeAutospacing="0" w:after="0" w:afterAutospacing="0"/>
        <w:ind w:left="180"/>
        <w:rPr>
          <w:rFonts w:ascii="Arial" w:hAnsi="Arial" w:cs="Arial"/>
          <w:color w:val="000000"/>
          <w:sz w:val="19"/>
          <w:szCs w:val="19"/>
        </w:rPr>
      </w:pPr>
      <w:r>
        <w:rPr>
          <w:rFonts w:ascii="Arial" w:hAnsi="Arial" w:cs="Arial"/>
          <w:color w:val="000000"/>
          <w:sz w:val="19"/>
          <w:szCs w:val="19"/>
        </w:rPr>
        <w:br/>
        <w:t>Téléphériques et remontées mécaniques</w:t>
      </w:r>
      <w:r>
        <w:rPr>
          <w:rFonts w:ascii="Arial" w:hAnsi="Arial" w:cs="Arial"/>
          <w:color w:val="000000"/>
          <w:sz w:val="19"/>
          <w:szCs w:val="19"/>
        </w:rPr>
        <w:br/>
        <w:t>Hôtels et hébergement similaire</w:t>
      </w:r>
      <w:r>
        <w:rPr>
          <w:rFonts w:ascii="Arial" w:hAnsi="Arial" w:cs="Arial"/>
          <w:color w:val="000000"/>
          <w:sz w:val="19"/>
          <w:szCs w:val="19"/>
        </w:rPr>
        <w:br/>
        <w:t>Hébergement touristique et autre hébergement de courte durée</w:t>
      </w:r>
      <w:r>
        <w:rPr>
          <w:rFonts w:ascii="Arial" w:hAnsi="Arial" w:cs="Arial"/>
          <w:color w:val="000000"/>
          <w:sz w:val="19"/>
          <w:szCs w:val="19"/>
        </w:rPr>
        <w:br/>
        <w:t>Terrains de camping et parcs pour caravanes ou véhicules de loisirs</w:t>
      </w:r>
      <w:r>
        <w:rPr>
          <w:rFonts w:ascii="Arial" w:hAnsi="Arial" w:cs="Arial"/>
          <w:color w:val="000000"/>
          <w:sz w:val="19"/>
          <w:szCs w:val="19"/>
        </w:rPr>
        <w:br/>
        <w:t>Restauration traditionnelle</w:t>
      </w:r>
      <w:r>
        <w:rPr>
          <w:rFonts w:ascii="Arial" w:hAnsi="Arial" w:cs="Arial"/>
          <w:color w:val="000000"/>
          <w:sz w:val="19"/>
          <w:szCs w:val="19"/>
        </w:rPr>
        <w:br/>
        <w:t xml:space="preserve">Cafétérias et autres </w:t>
      </w:r>
      <w:proofErr w:type="spellStart"/>
      <w:r>
        <w:rPr>
          <w:rFonts w:ascii="Arial" w:hAnsi="Arial" w:cs="Arial"/>
          <w:color w:val="000000"/>
          <w:sz w:val="19"/>
          <w:szCs w:val="19"/>
        </w:rPr>
        <w:t>libres-services</w:t>
      </w:r>
      <w:proofErr w:type="spellEnd"/>
      <w:r>
        <w:rPr>
          <w:rFonts w:ascii="Arial" w:hAnsi="Arial" w:cs="Arial"/>
          <w:color w:val="000000"/>
          <w:sz w:val="19"/>
          <w:szCs w:val="19"/>
        </w:rPr>
        <w:br/>
        <w:t>Restauration de type rapide</w:t>
      </w:r>
      <w:r>
        <w:rPr>
          <w:rFonts w:ascii="Arial" w:hAnsi="Arial" w:cs="Arial"/>
          <w:color w:val="000000"/>
          <w:sz w:val="19"/>
          <w:szCs w:val="19"/>
        </w:rPr>
        <w:br/>
        <w:t>Services de restauration collective sous contrat, de cantines et restaurants d'entreprise</w:t>
      </w:r>
      <w:r>
        <w:rPr>
          <w:rFonts w:ascii="Arial" w:hAnsi="Arial" w:cs="Arial"/>
          <w:color w:val="000000"/>
          <w:sz w:val="19"/>
          <w:szCs w:val="19"/>
        </w:rPr>
        <w:br/>
        <w:t>Services des traiteurs</w:t>
      </w:r>
      <w:r>
        <w:rPr>
          <w:rFonts w:ascii="Arial" w:hAnsi="Arial" w:cs="Arial"/>
          <w:color w:val="000000"/>
          <w:sz w:val="19"/>
          <w:szCs w:val="19"/>
        </w:rPr>
        <w:br/>
        <w:t>Débits de boissons</w:t>
      </w:r>
      <w:r>
        <w:rPr>
          <w:rFonts w:ascii="Arial" w:hAnsi="Arial" w:cs="Arial"/>
          <w:color w:val="000000"/>
          <w:sz w:val="19"/>
          <w:szCs w:val="19"/>
        </w:rPr>
        <w:br/>
        <w:t>Projection de films cinématographiques et autres industries techniques du cinéma et de l'image animée</w:t>
      </w:r>
      <w:r>
        <w:rPr>
          <w:rFonts w:ascii="Arial" w:hAnsi="Arial" w:cs="Arial"/>
          <w:color w:val="000000"/>
          <w:sz w:val="19"/>
          <w:szCs w:val="19"/>
        </w:rPr>
        <w:br/>
        <w:t>Location et location-bail d'articles de loisirs et de sport</w:t>
      </w:r>
      <w:r>
        <w:rPr>
          <w:rFonts w:ascii="Arial" w:hAnsi="Arial" w:cs="Arial"/>
          <w:color w:val="000000"/>
          <w:sz w:val="19"/>
          <w:szCs w:val="19"/>
        </w:rPr>
        <w:br/>
        <w:t>Activités des agences de voyage</w:t>
      </w:r>
      <w:r>
        <w:rPr>
          <w:rFonts w:ascii="Arial" w:hAnsi="Arial" w:cs="Arial"/>
          <w:color w:val="000000"/>
          <w:sz w:val="19"/>
          <w:szCs w:val="19"/>
        </w:rPr>
        <w:br/>
        <w:t>Activités des voyagistes</w:t>
      </w:r>
      <w:r>
        <w:rPr>
          <w:rFonts w:ascii="Arial" w:hAnsi="Arial" w:cs="Arial"/>
          <w:color w:val="000000"/>
          <w:sz w:val="19"/>
          <w:szCs w:val="19"/>
        </w:rPr>
        <w:br/>
        <w:t>Autres services de réservation et activités connexes</w:t>
      </w:r>
      <w:r>
        <w:rPr>
          <w:rFonts w:ascii="Arial" w:hAnsi="Arial" w:cs="Arial"/>
          <w:color w:val="000000"/>
          <w:sz w:val="19"/>
          <w:szCs w:val="19"/>
        </w:rPr>
        <w:br/>
        <w:t>Organisation de foires, évènements publics ou privés, salons ou séminaires professionnels, congrès</w:t>
      </w:r>
      <w:r>
        <w:rPr>
          <w:rFonts w:ascii="Arial" w:hAnsi="Arial" w:cs="Arial"/>
          <w:color w:val="000000"/>
          <w:sz w:val="19"/>
          <w:szCs w:val="19"/>
        </w:rPr>
        <w:br/>
        <w:t>Agences de mannequins</w:t>
      </w:r>
      <w:r>
        <w:rPr>
          <w:rFonts w:ascii="Arial" w:hAnsi="Arial" w:cs="Arial"/>
          <w:color w:val="000000"/>
          <w:sz w:val="19"/>
          <w:szCs w:val="19"/>
        </w:rPr>
        <w:br/>
        <w:t>Entreprises de détaxe et bureaux de change (changeurs manuels)</w:t>
      </w:r>
      <w:r>
        <w:rPr>
          <w:rFonts w:ascii="Arial" w:hAnsi="Arial" w:cs="Arial"/>
          <w:color w:val="000000"/>
          <w:sz w:val="19"/>
          <w:szCs w:val="19"/>
        </w:rPr>
        <w:br/>
        <w:t>Enseignement de disciplines sportives et d'activités de loisirs</w:t>
      </w:r>
      <w:r>
        <w:rPr>
          <w:rFonts w:ascii="Arial" w:hAnsi="Arial" w:cs="Arial"/>
          <w:color w:val="000000"/>
          <w:sz w:val="19"/>
          <w:szCs w:val="19"/>
        </w:rPr>
        <w:br/>
        <w:t>Arts du spectacle vivant</w:t>
      </w:r>
      <w:r>
        <w:rPr>
          <w:rFonts w:ascii="Arial" w:hAnsi="Arial" w:cs="Arial"/>
          <w:color w:val="000000"/>
          <w:sz w:val="19"/>
          <w:szCs w:val="19"/>
        </w:rPr>
        <w:br/>
        <w:t>Activités de soutien au spectacle vivant</w:t>
      </w:r>
      <w:r>
        <w:rPr>
          <w:rFonts w:ascii="Arial" w:hAnsi="Arial" w:cs="Arial"/>
          <w:color w:val="000000"/>
          <w:sz w:val="19"/>
          <w:szCs w:val="19"/>
        </w:rPr>
        <w:br/>
        <w:t>Création artistique relevant des arts plastiques</w:t>
      </w:r>
      <w:r>
        <w:rPr>
          <w:rFonts w:ascii="Arial" w:hAnsi="Arial" w:cs="Arial"/>
          <w:color w:val="000000"/>
          <w:sz w:val="19"/>
          <w:szCs w:val="19"/>
        </w:rPr>
        <w:br/>
        <w:t>Gestion de salles de spectacles et production de spectacles</w:t>
      </w:r>
      <w:r>
        <w:rPr>
          <w:rFonts w:ascii="Arial" w:hAnsi="Arial" w:cs="Arial"/>
          <w:color w:val="000000"/>
          <w:sz w:val="19"/>
          <w:szCs w:val="19"/>
        </w:rPr>
        <w:br/>
        <w:t>Gestion des musées</w:t>
      </w:r>
      <w:r>
        <w:rPr>
          <w:rFonts w:ascii="Arial" w:hAnsi="Arial" w:cs="Arial"/>
          <w:color w:val="000000"/>
          <w:sz w:val="19"/>
          <w:szCs w:val="19"/>
        </w:rPr>
        <w:br/>
        <w:t>Guides conférenciers</w:t>
      </w:r>
      <w:r>
        <w:rPr>
          <w:rFonts w:ascii="Arial" w:hAnsi="Arial" w:cs="Arial"/>
          <w:color w:val="000000"/>
          <w:sz w:val="19"/>
          <w:szCs w:val="19"/>
        </w:rPr>
        <w:br/>
        <w:t>Gestion des sites et monuments historiques et des attractions touristiques similaires</w:t>
      </w:r>
      <w:r>
        <w:rPr>
          <w:rFonts w:ascii="Arial" w:hAnsi="Arial" w:cs="Arial"/>
          <w:color w:val="000000"/>
          <w:sz w:val="19"/>
          <w:szCs w:val="19"/>
        </w:rPr>
        <w:br/>
        <w:t>Gestion des jardins botaniques et zoologiques et des réserves naturelles</w:t>
      </w:r>
      <w:r>
        <w:rPr>
          <w:rFonts w:ascii="Arial" w:hAnsi="Arial" w:cs="Arial"/>
          <w:color w:val="000000"/>
          <w:sz w:val="19"/>
          <w:szCs w:val="19"/>
        </w:rPr>
        <w:br/>
        <w:t>Gestion d'installations sportives</w:t>
      </w:r>
      <w:r>
        <w:rPr>
          <w:rFonts w:ascii="Arial" w:hAnsi="Arial" w:cs="Arial"/>
          <w:color w:val="000000"/>
          <w:sz w:val="19"/>
          <w:szCs w:val="19"/>
        </w:rPr>
        <w:br/>
        <w:t>Activités de clubs de sports</w:t>
      </w:r>
      <w:r>
        <w:rPr>
          <w:rFonts w:ascii="Arial" w:hAnsi="Arial" w:cs="Arial"/>
          <w:color w:val="000000"/>
          <w:sz w:val="19"/>
          <w:szCs w:val="19"/>
        </w:rPr>
        <w:br/>
        <w:t>Activité des centres de culture physique</w:t>
      </w:r>
      <w:r>
        <w:rPr>
          <w:rFonts w:ascii="Arial" w:hAnsi="Arial" w:cs="Arial"/>
          <w:color w:val="000000"/>
          <w:sz w:val="19"/>
          <w:szCs w:val="19"/>
        </w:rPr>
        <w:br/>
        <w:t>Autres activités liées au sport</w:t>
      </w:r>
      <w:r>
        <w:rPr>
          <w:rFonts w:ascii="Arial" w:hAnsi="Arial" w:cs="Arial"/>
          <w:color w:val="000000"/>
          <w:sz w:val="19"/>
          <w:szCs w:val="19"/>
        </w:rPr>
        <w:br/>
        <w:t>Activités des parcs d'attractions et parcs à thèmes</w:t>
      </w:r>
      <w:r>
        <w:rPr>
          <w:rFonts w:ascii="Arial" w:hAnsi="Arial" w:cs="Arial"/>
          <w:color w:val="000000"/>
          <w:sz w:val="19"/>
          <w:szCs w:val="19"/>
        </w:rPr>
        <w:br/>
        <w:t>Autres activités récréatives et de loisirs</w:t>
      </w:r>
      <w:r>
        <w:rPr>
          <w:rFonts w:ascii="Arial" w:hAnsi="Arial" w:cs="Arial"/>
          <w:color w:val="000000"/>
          <w:sz w:val="19"/>
          <w:szCs w:val="19"/>
        </w:rPr>
        <w:br/>
        <w:t>Entretien corporel</w:t>
      </w:r>
      <w:r>
        <w:rPr>
          <w:rFonts w:ascii="Arial" w:hAnsi="Arial" w:cs="Arial"/>
          <w:color w:val="000000"/>
          <w:sz w:val="19"/>
          <w:szCs w:val="19"/>
        </w:rPr>
        <w:br/>
        <w:t>Trains et chemins de fer touristiques</w:t>
      </w:r>
      <w:r>
        <w:rPr>
          <w:rFonts w:ascii="Arial" w:hAnsi="Arial" w:cs="Arial"/>
          <w:color w:val="000000"/>
          <w:sz w:val="19"/>
          <w:szCs w:val="19"/>
        </w:rPr>
        <w:br/>
        <w:t>Transport transmanche</w:t>
      </w:r>
      <w:r>
        <w:rPr>
          <w:rFonts w:ascii="Arial" w:hAnsi="Arial" w:cs="Arial"/>
          <w:color w:val="000000"/>
          <w:sz w:val="19"/>
          <w:szCs w:val="19"/>
        </w:rPr>
        <w:br/>
      </w:r>
      <w:r>
        <w:rPr>
          <w:rFonts w:ascii="Arial" w:hAnsi="Arial" w:cs="Arial"/>
          <w:color w:val="000000"/>
          <w:sz w:val="19"/>
          <w:szCs w:val="19"/>
        </w:rPr>
        <w:lastRenderedPageBreak/>
        <w:t>Transport aérien de passagers</w:t>
      </w:r>
      <w:r>
        <w:rPr>
          <w:rFonts w:ascii="Arial" w:hAnsi="Arial" w:cs="Arial"/>
          <w:color w:val="000000"/>
          <w:sz w:val="19"/>
          <w:szCs w:val="19"/>
        </w:rPr>
        <w:br/>
        <w:t>Transport de passagers sur les fleuves, les canaux, les lacs, location de bateaux de plaisance</w:t>
      </w:r>
      <w:r>
        <w:rPr>
          <w:rFonts w:ascii="Arial" w:hAnsi="Arial" w:cs="Arial"/>
          <w:color w:val="000000"/>
          <w:sz w:val="19"/>
          <w:szCs w:val="19"/>
        </w:rPr>
        <w:br/>
        <w:t>Cars et bus touristiques</w:t>
      </w:r>
      <w:r>
        <w:rPr>
          <w:rFonts w:ascii="Arial" w:hAnsi="Arial" w:cs="Arial"/>
          <w:color w:val="000000"/>
          <w:sz w:val="19"/>
          <w:szCs w:val="19"/>
        </w:rPr>
        <w:br/>
        <w:t>Balades touristiques en mer</w:t>
      </w:r>
      <w:r>
        <w:rPr>
          <w:rFonts w:ascii="Arial" w:hAnsi="Arial" w:cs="Arial"/>
          <w:color w:val="000000"/>
          <w:sz w:val="19"/>
          <w:szCs w:val="19"/>
        </w:rPr>
        <w:br/>
        <w:t>Production de films et de programmes pour la télévision</w:t>
      </w:r>
      <w:r>
        <w:rPr>
          <w:rFonts w:ascii="Arial" w:hAnsi="Arial" w:cs="Arial"/>
          <w:color w:val="000000"/>
          <w:sz w:val="19"/>
          <w:szCs w:val="19"/>
        </w:rPr>
        <w:br/>
        <w:t>Production de films institutionnels et publicitaires</w:t>
      </w:r>
      <w:r>
        <w:rPr>
          <w:rFonts w:ascii="Arial" w:hAnsi="Arial" w:cs="Arial"/>
          <w:color w:val="000000"/>
          <w:sz w:val="19"/>
          <w:szCs w:val="19"/>
        </w:rPr>
        <w:br/>
        <w:t>Production de films pour le cinéma</w:t>
      </w:r>
      <w:r>
        <w:rPr>
          <w:rFonts w:ascii="Arial" w:hAnsi="Arial" w:cs="Arial"/>
          <w:color w:val="000000"/>
          <w:sz w:val="19"/>
          <w:szCs w:val="19"/>
        </w:rPr>
        <w:br/>
        <w:t>Activités photographiques</w:t>
      </w:r>
      <w:r>
        <w:rPr>
          <w:rFonts w:ascii="Arial" w:hAnsi="Arial" w:cs="Arial"/>
          <w:color w:val="000000"/>
          <w:sz w:val="19"/>
          <w:szCs w:val="19"/>
        </w:rPr>
        <w:br/>
        <w:t>Enseignement culturel</w:t>
      </w:r>
    </w:p>
    <w:p w:rsidR="001F260F" w:rsidRDefault="001F260F" w:rsidP="001F260F">
      <w:pPr>
        <w:numPr>
          <w:ilvl w:val="0"/>
          <w:numId w:val="2"/>
        </w:numPr>
        <w:shd w:val="clear" w:color="auto" w:fill="FFFFFF"/>
        <w:spacing w:before="100" w:beforeAutospacing="1" w:after="100" w:afterAutospacing="1"/>
        <w:ind w:left="180"/>
        <w:rPr>
          <w:rFonts w:ascii="Arial" w:hAnsi="Arial" w:cs="Arial"/>
          <w:color w:val="000000"/>
          <w:sz w:val="29"/>
          <w:szCs w:val="29"/>
        </w:rPr>
      </w:pPr>
      <w:r>
        <w:rPr>
          <w:rFonts w:ascii="Arial" w:hAnsi="Arial" w:cs="Arial"/>
          <w:color w:val="000000"/>
          <w:sz w:val="29"/>
          <w:szCs w:val="29"/>
        </w:rPr>
        <w:t>Annexe</w:t>
      </w:r>
    </w:p>
    <w:p w:rsidR="001F260F" w:rsidRDefault="001F260F" w:rsidP="001F260F">
      <w:pPr>
        <w:pStyle w:val="NormalWeb"/>
        <w:shd w:val="clear" w:color="auto" w:fill="FFFFFF"/>
        <w:spacing w:before="0" w:beforeAutospacing="0" w:after="0" w:afterAutospacing="0"/>
        <w:ind w:left="180"/>
        <w:rPr>
          <w:rFonts w:ascii="Arial" w:hAnsi="Arial" w:cs="Arial"/>
          <w:color w:val="000000"/>
          <w:sz w:val="19"/>
          <w:szCs w:val="19"/>
        </w:rPr>
      </w:pPr>
      <w:bookmarkStart w:id="4" w:name="JORFARTI000042056556"/>
      <w:bookmarkEnd w:id="4"/>
      <w:r>
        <w:rPr>
          <w:rFonts w:ascii="Arial" w:hAnsi="Arial" w:cs="Arial"/>
          <w:color w:val="000000"/>
          <w:sz w:val="19"/>
          <w:szCs w:val="19"/>
        </w:rPr>
        <w:br/>
        <w:t>ANNEXE 2</w:t>
      </w:r>
    </w:p>
    <w:p w:rsidR="001F260F" w:rsidRDefault="001F260F" w:rsidP="001F260F">
      <w:pPr>
        <w:pStyle w:val="NormalWeb"/>
        <w:shd w:val="clear" w:color="auto" w:fill="FFFFFF"/>
        <w:spacing w:before="0" w:beforeAutospacing="0" w:after="0" w:afterAutospacing="0"/>
        <w:ind w:left="180"/>
        <w:rPr>
          <w:rFonts w:ascii="Arial" w:hAnsi="Arial" w:cs="Arial"/>
          <w:color w:val="000000"/>
          <w:sz w:val="19"/>
          <w:szCs w:val="19"/>
        </w:rPr>
      </w:pPr>
      <w:r>
        <w:rPr>
          <w:rFonts w:ascii="Arial" w:hAnsi="Arial" w:cs="Arial"/>
          <w:color w:val="000000"/>
          <w:sz w:val="19"/>
          <w:szCs w:val="19"/>
        </w:rPr>
        <w:br/>
        <w:t>Culture de plantes à boissons</w:t>
      </w:r>
      <w:r>
        <w:rPr>
          <w:rFonts w:ascii="Arial" w:hAnsi="Arial" w:cs="Arial"/>
          <w:color w:val="000000"/>
          <w:sz w:val="19"/>
          <w:szCs w:val="19"/>
        </w:rPr>
        <w:br/>
        <w:t>Culture de la vigne</w:t>
      </w:r>
      <w:r>
        <w:rPr>
          <w:rFonts w:ascii="Arial" w:hAnsi="Arial" w:cs="Arial"/>
          <w:color w:val="000000"/>
          <w:sz w:val="19"/>
          <w:szCs w:val="19"/>
        </w:rPr>
        <w:br/>
        <w:t>Pêche en mer</w:t>
      </w:r>
      <w:r>
        <w:rPr>
          <w:rFonts w:ascii="Arial" w:hAnsi="Arial" w:cs="Arial"/>
          <w:color w:val="000000"/>
          <w:sz w:val="19"/>
          <w:szCs w:val="19"/>
        </w:rPr>
        <w:br/>
        <w:t>Pêche en eau douce</w:t>
      </w:r>
      <w:r>
        <w:rPr>
          <w:rFonts w:ascii="Arial" w:hAnsi="Arial" w:cs="Arial"/>
          <w:color w:val="000000"/>
          <w:sz w:val="19"/>
          <w:szCs w:val="19"/>
        </w:rPr>
        <w:br/>
        <w:t>Aquaculture en mer</w:t>
      </w:r>
      <w:r>
        <w:rPr>
          <w:rFonts w:ascii="Arial" w:hAnsi="Arial" w:cs="Arial"/>
          <w:color w:val="000000"/>
          <w:sz w:val="19"/>
          <w:szCs w:val="19"/>
        </w:rPr>
        <w:br/>
        <w:t>Aquaculture en eau douce</w:t>
      </w:r>
      <w:r>
        <w:rPr>
          <w:rFonts w:ascii="Arial" w:hAnsi="Arial" w:cs="Arial"/>
          <w:color w:val="000000"/>
          <w:sz w:val="19"/>
          <w:szCs w:val="19"/>
        </w:rPr>
        <w:br/>
        <w:t>Production de boissons alcooliques distillées</w:t>
      </w:r>
      <w:r>
        <w:rPr>
          <w:rFonts w:ascii="Arial" w:hAnsi="Arial" w:cs="Arial"/>
          <w:color w:val="000000"/>
          <w:sz w:val="19"/>
          <w:szCs w:val="19"/>
        </w:rPr>
        <w:br/>
        <w:t>Fabrication de vins effervescents</w:t>
      </w:r>
      <w:r>
        <w:rPr>
          <w:rFonts w:ascii="Arial" w:hAnsi="Arial" w:cs="Arial"/>
          <w:color w:val="000000"/>
          <w:sz w:val="19"/>
          <w:szCs w:val="19"/>
        </w:rPr>
        <w:br/>
        <w:t>Vinification</w:t>
      </w:r>
      <w:r>
        <w:rPr>
          <w:rFonts w:ascii="Arial" w:hAnsi="Arial" w:cs="Arial"/>
          <w:color w:val="000000"/>
          <w:sz w:val="19"/>
          <w:szCs w:val="19"/>
        </w:rPr>
        <w:br/>
        <w:t>Fabrication de cidre et de vins de fruits</w:t>
      </w:r>
      <w:r>
        <w:rPr>
          <w:rFonts w:ascii="Arial" w:hAnsi="Arial" w:cs="Arial"/>
          <w:color w:val="000000"/>
          <w:sz w:val="19"/>
          <w:szCs w:val="19"/>
        </w:rPr>
        <w:br/>
        <w:t>Production d'autres boissons fermentées non distillées</w:t>
      </w:r>
      <w:r>
        <w:rPr>
          <w:rFonts w:ascii="Arial" w:hAnsi="Arial" w:cs="Arial"/>
          <w:color w:val="000000"/>
          <w:sz w:val="19"/>
          <w:szCs w:val="19"/>
        </w:rPr>
        <w:br/>
        <w:t>Fabrication de bière</w:t>
      </w:r>
      <w:r>
        <w:rPr>
          <w:rFonts w:ascii="Arial" w:hAnsi="Arial" w:cs="Arial"/>
          <w:color w:val="000000"/>
          <w:sz w:val="19"/>
          <w:szCs w:val="19"/>
        </w:rPr>
        <w:br/>
        <w:t>Production de fromages sous appellation d'origine protégée ou indication géographique protégée</w:t>
      </w:r>
      <w:r>
        <w:rPr>
          <w:rFonts w:ascii="Arial" w:hAnsi="Arial" w:cs="Arial"/>
          <w:color w:val="000000"/>
          <w:sz w:val="19"/>
          <w:szCs w:val="19"/>
        </w:rPr>
        <w:br/>
        <w:t>Fabrication de malt</w:t>
      </w:r>
      <w:r>
        <w:rPr>
          <w:rFonts w:ascii="Arial" w:hAnsi="Arial" w:cs="Arial"/>
          <w:color w:val="000000"/>
          <w:sz w:val="19"/>
          <w:szCs w:val="19"/>
        </w:rPr>
        <w:br/>
        <w:t>Centrales d'achat alimentaires</w:t>
      </w:r>
      <w:r>
        <w:rPr>
          <w:rFonts w:ascii="Arial" w:hAnsi="Arial" w:cs="Arial"/>
          <w:color w:val="000000"/>
          <w:sz w:val="19"/>
          <w:szCs w:val="19"/>
        </w:rPr>
        <w:br/>
        <w:t>Autres intermédiaires du commerce en denrées et boissons</w:t>
      </w:r>
      <w:r>
        <w:rPr>
          <w:rFonts w:ascii="Arial" w:hAnsi="Arial" w:cs="Arial"/>
          <w:color w:val="000000"/>
          <w:sz w:val="19"/>
          <w:szCs w:val="19"/>
        </w:rPr>
        <w:br/>
        <w:t>Commerce de gros de fruits et légumes</w:t>
      </w:r>
      <w:r>
        <w:rPr>
          <w:rFonts w:ascii="Arial" w:hAnsi="Arial" w:cs="Arial"/>
          <w:color w:val="000000"/>
          <w:sz w:val="19"/>
          <w:szCs w:val="19"/>
        </w:rPr>
        <w:br/>
        <w:t>Herboristerie/horticulture/commerce de gros de fleurs et plans</w:t>
      </w:r>
      <w:r>
        <w:rPr>
          <w:rFonts w:ascii="Arial" w:hAnsi="Arial" w:cs="Arial"/>
          <w:color w:val="000000"/>
          <w:sz w:val="19"/>
          <w:szCs w:val="19"/>
        </w:rPr>
        <w:br/>
        <w:t>Commerce de gros de produits laitiers, œufs, huiles et matières grasses comestibles</w:t>
      </w:r>
      <w:r>
        <w:rPr>
          <w:rFonts w:ascii="Arial" w:hAnsi="Arial" w:cs="Arial"/>
          <w:color w:val="000000"/>
          <w:sz w:val="19"/>
          <w:szCs w:val="19"/>
        </w:rPr>
        <w:br/>
        <w:t>Commerce de gros de boissons</w:t>
      </w:r>
      <w:r>
        <w:rPr>
          <w:rFonts w:ascii="Arial" w:hAnsi="Arial" w:cs="Arial"/>
          <w:color w:val="000000"/>
          <w:sz w:val="19"/>
          <w:szCs w:val="19"/>
        </w:rPr>
        <w:br/>
        <w:t>Mareyage et commerce de gros de poissons, coquillages, crustacés</w:t>
      </w:r>
      <w:r>
        <w:rPr>
          <w:rFonts w:ascii="Arial" w:hAnsi="Arial" w:cs="Arial"/>
          <w:color w:val="000000"/>
          <w:sz w:val="19"/>
          <w:szCs w:val="19"/>
        </w:rPr>
        <w:br/>
        <w:t>Commerce de gros alimentaire spécialisé divers</w:t>
      </w:r>
      <w:r>
        <w:rPr>
          <w:rFonts w:ascii="Arial" w:hAnsi="Arial" w:cs="Arial"/>
          <w:color w:val="000000"/>
          <w:sz w:val="19"/>
          <w:szCs w:val="19"/>
        </w:rPr>
        <w:br/>
        <w:t>Commerce de gros de produits surgelés</w:t>
      </w:r>
      <w:r>
        <w:rPr>
          <w:rFonts w:ascii="Arial" w:hAnsi="Arial" w:cs="Arial"/>
          <w:color w:val="000000"/>
          <w:sz w:val="19"/>
          <w:szCs w:val="19"/>
        </w:rPr>
        <w:br/>
        <w:t>Commerce de gros alimentaire</w:t>
      </w:r>
      <w:r>
        <w:rPr>
          <w:rFonts w:ascii="Arial" w:hAnsi="Arial" w:cs="Arial"/>
          <w:color w:val="000000"/>
          <w:sz w:val="19"/>
          <w:szCs w:val="19"/>
        </w:rPr>
        <w:br/>
        <w:t>Commerce de gros non spécialisé</w:t>
      </w:r>
      <w:r>
        <w:rPr>
          <w:rFonts w:ascii="Arial" w:hAnsi="Arial" w:cs="Arial"/>
          <w:color w:val="000000"/>
          <w:sz w:val="19"/>
          <w:szCs w:val="19"/>
        </w:rPr>
        <w:br/>
        <w:t>Commerce de gros textiles</w:t>
      </w:r>
      <w:r>
        <w:rPr>
          <w:rFonts w:ascii="Arial" w:hAnsi="Arial" w:cs="Arial"/>
          <w:color w:val="000000"/>
          <w:sz w:val="19"/>
          <w:szCs w:val="19"/>
        </w:rPr>
        <w:br/>
        <w:t>Intermédiaires spécialisés dans le commerce d'autres produits spécifiques</w:t>
      </w:r>
      <w:r>
        <w:rPr>
          <w:rFonts w:ascii="Arial" w:hAnsi="Arial" w:cs="Arial"/>
          <w:color w:val="000000"/>
          <w:sz w:val="19"/>
          <w:szCs w:val="19"/>
        </w:rPr>
        <w:br/>
        <w:t>Commerce de gros d'habillement et de chaussures</w:t>
      </w:r>
      <w:r>
        <w:rPr>
          <w:rFonts w:ascii="Arial" w:hAnsi="Arial" w:cs="Arial"/>
          <w:color w:val="000000"/>
          <w:sz w:val="19"/>
          <w:szCs w:val="19"/>
        </w:rPr>
        <w:br/>
        <w:t>Commerce de gros d'autres biens domestiques</w:t>
      </w:r>
      <w:r>
        <w:rPr>
          <w:rFonts w:ascii="Arial" w:hAnsi="Arial" w:cs="Arial"/>
          <w:color w:val="000000"/>
          <w:sz w:val="19"/>
          <w:szCs w:val="19"/>
        </w:rPr>
        <w:br/>
        <w:t>Commerce de gros de vaisselle, verrerie et produits d'entretien</w:t>
      </w:r>
      <w:r>
        <w:rPr>
          <w:rFonts w:ascii="Arial" w:hAnsi="Arial" w:cs="Arial"/>
          <w:color w:val="000000"/>
          <w:sz w:val="19"/>
          <w:szCs w:val="19"/>
        </w:rPr>
        <w:br/>
        <w:t>Commerce de gros de fournitures et équipements divers pour le commerce et les services</w:t>
      </w:r>
      <w:r>
        <w:rPr>
          <w:rFonts w:ascii="Arial" w:hAnsi="Arial" w:cs="Arial"/>
          <w:color w:val="000000"/>
          <w:sz w:val="19"/>
          <w:szCs w:val="19"/>
        </w:rPr>
        <w:br/>
        <w:t>Blanchisserie-teinturerie de gros</w:t>
      </w:r>
      <w:r>
        <w:rPr>
          <w:rFonts w:ascii="Arial" w:hAnsi="Arial" w:cs="Arial"/>
          <w:color w:val="000000"/>
          <w:sz w:val="19"/>
          <w:szCs w:val="19"/>
        </w:rPr>
        <w:br/>
        <w:t>Stations-service</w:t>
      </w:r>
      <w:r>
        <w:rPr>
          <w:rFonts w:ascii="Arial" w:hAnsi="Arial" w:cs="Arial"/>
          <w:color w:val="000000"/>
          <w:sz w:val="19"/>
          <w:szCs w:val="19"/>
        </w:rPr>
        <w:br/>
        <w:t>Enregistrement sonore et édition musicale</w:t>
      </w:r>
      <w:r>
        <w:rPr>
          <w:rFonts w:ascii="Arial" w:hAnsi="Arial" w:cs="Arial"/>
          <w:color w:val="000000"/>
          <w:sz w:val="19"/>
          <w:szCs w:val="19"/>
        </w:rPr>
        <w:br/>
        <w:t>Post-production de films cinématographiques, de vidéo et de programmes de télévision</w:t>
      </w:r>
      <w:r>
        <w:rPr>
          <w:rFonts w:ascii="Arial" w:hAnsi="Arial" w:cs="Arial"/>
          <w:color w:val="000000"/>
          <w:sz w:val="19"/>
          <w:szCs w:val="19"/>
        </w:rPr>
        <w:br/>
        <w:t>Distribution de films cinématographiques</w:t>
      </w:r>
      <w:r>
        <w:rPr>
          <w:rFonts w:ascii="Arial" w:hAnsi="Arial" w:cs="Arial"/>
          <w:color w:val="000000"/>
          <w:sz w:val="19"/>
          <w:szCs w:val="19"/>
        </w:rPr>
        <w:br/>
        <w:t>Editeurs de livres</w:t>
      </w:r>
      <w:r>
        <w:rPr>
          <w:rFonts w:ascii="Arial" w:hAnsi="Arial" w:cs="Arial"/>
          <w:color w:val="000000"/>
          <w:sz w:val="19"/>
          <w:szCs w:val="19"/>
        </w:rPr>
        <w:br/>
        <w:t>Prestation/location de chapiteaux, tentes, structures, sonorisation, photographie, lumière et pyrotechnie</w:t>
      </w:r>
      <w:r>
        <w:rPr>
          <w:rFonts w:ascii="Arial" w:hAnsi="Arial" w:cs="Arial"/>
          <w:color w:val="000000"/>
          <w:sz w:val="19"/>
          <w:szCs w:val="19"/>
        </w:rPr>
        <w:br/>
        <w:t>Services auxiliaires des transports aériens</w:t>
      </w:r>
      <w:r>
        <w:rPr>
          <w:rFonts w:ascii="Arial" w:hAnsi="Arial" w:cs="Arial"/>
          <w:color w:val="000000"/>
          <w:sz w:val="19"/>
          <w:szCs w:val="19"/>
        </w:rPr>
        <w:br/>
        <w:t>Transports de voyageurs par taxis et véhicules de tourisme avec chauffeur</w:t>
      </w:r>
      <w:r>
        <w:rPr>
          <w:rFonts w:ascii="Arial" w:hAnsi="Arial" w:cs="Arial"/>
          <w:color w:val="000000"/>
          <w:sz w:val="19"/>
          <w:szCs w:val="19"/>
        </w:rPr>
        <w:br/>
        <w:t>Location de courte durée de voitures et de véhicules automobiles légers</w:t>
      </w:r>
    </w:p>
    <w:p w:rsidR="001F260F" w:rsidRDefault="001F260F" w:rsidP="001F260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br/>
        <w:t>Fait le 29 juin 2020.</w:t>
      </w:r>
    </w:p>
    <w:p w:rsidR="001F260F" w:rsidRDefault="001F260F" w:rsidP="001F260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br/>
        <w:t>Edouard Philippe</w:t>
      </w:r>
      <w:r>
        <w:rPr>
          <w:rFonts w:ascii="Arial" w:hAnsi="Arial" w:cs="Arial"/>
          <w:color w:val="000000"/>
          <w:sz w:val="19"/>
          <w:szCs w:val="19"/>
        </w:rPr>
        <w:br/>
      </w:r>
      <w:r>
        <w:rPr>
          <w:rFonts w:ascii="Arial" w:hAnsi="Arial" w:cs="Arial"/>
          <w:color w:val="000000"/>
          <w:sz w:val="19"/>
          <w:szCs w:val="19"/>
        </w:rPr>
        <w:lastRenderedPageBreak/>
        <w:br/>
        <w:t>Par le Premier ministre :</w:t>
      </w:r>
    </w:p>
    <w:p w:rsidR="001F260F" w:rsidRDefault="001F260F" w:rsidP="001F260F">
      <w:pPr>
        <w:pStyle w:val="NormalWeb"/>
        <w:shd w:val="clear" w:color="auto" w:fill="FFFFFF"/>
        <w:spacing w:before="180" w:beforeAutospacing="0" w:after="180" w:afterAutospacing="0"/>
        <w:rPr>
          <w:rFonts w:ascii="Arial" w:hAnsi="Arial" w:cs="Arial"/>
          <w:color w:val="000000"/>
          <w:sz w:val="19"/>
          <w:szCs w:val="19"/>
        </w:rPr>
      </w:pPr>
      <w:r>
        <w:rPr>
          <w:rFonts w:ascii="Arial" w:hAnsi="Arial" w:cs="Arial"/>
          <w:color w:val="000000"/>
          <w:sz w:val="19"/>
          <w:szCs w:val="19"/>
        </w:rPr>
        <w:br/>
        <w:t>La ministre du travail</w:t>
      </w:r>
      <w:proofErr w:type="gramStart"/>
      <w:r>
        <w:rPr>
          <w:rFonts w:ascii="Arial" w:hAnsi="Arial" w:cs="Arial"/>
          <w:color w:val="000000"/>
          <w:sz w:val="19"/>
          <w:szCs w:val="19"/>
        </w:rPr>
        <w:t>,</w:t>
      </w:r>
      <w:proofErr w:type="gramEnd"/>
      <w:r>
        <w:rPr>
          <w:rFonts w:ascii="Arial" w:hAnsi="Arial" w:cs="Arial"/>
          <w:color w:val="000000"/>
          <w:sz w:val="19"/>
          <w:szCs w:val="19"/>
        </w:rPr>
        <w:br/>
      </w:r>
      <w:r>
        <w:rPr>
          <w:rFonts w:ascii="Arial" w:hAnsi="Arial" w:cs="Arial"/>
          <w:color w:val="000000"/>
          <w:sz w:val="19"/>
          <w:szCs w:val="19"/>
        </w:rPr>
        <w:br/>
        <w:t>Muriel Pénicaud</w:t>
      </w:r>
    </w:p>
    <w:p w:rsidR="001F260F" w:rsidRDefault="001F260F" w:rsidP="001F260F"/>
    <w:p w:rsidR="0062232E" w:rsidRDefault="0062232E">
      <w:bookmarkStart w:id="5" w:name="_GoBack"/>
      <w:bookmarkEnd w:id="5"/>
    </w:p>
    <w:sectPr w:rsidR="00622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37FF5"/>
    <w:multiLevelType w:val="multilevel"/>
    <w:tmpl w:val="76D8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06B1C"/>
    <w:multiLevelType w:val="multilevel"/>
    <w:tmpl w:val="A3A22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0F"/>
    <w:rsid w:val="001F260F"/>
    <w:rsid w:val="00622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119D3-CB21-423C-A42A-2E816D37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0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F260F"/>
    <w:rPr>
      <w:color w:val="0563C1"/>
      <w:u w:val="single"/>
    </w:rPr>
  </w:style>
  <w:style w:type="paragraph" w:styleId="NormalWeb">
    <w:name w:val="Normal (Web)"/>
    <w:basedOn w:val="Normal"/>
    <w:uiPriority w:val="99"/>
    <w:semiHidden/>
    <w:unhideWhenUsed/>
    <w:rsid w:val="001F260F"/>
    <w:pPr>
      <w:spacing w:before="100" w:beforeAutospacing="1" w:after="100" w:afterAutospacing="1"/>
    </w:pPr>
    <w:rPr>
      <w:rFonts w:ascii="Times New Roman" w:hAnsi="Times New Roman" w:cs="Times New Roman"/>
      <w:sz w:val="24"/>
      <w:szCs w:val="24"/>
      <w:lang w:eastAsia="fr-FR"/>
    </w:rPr>
  </w:style>
  <w:style w:type="character" w:styleId="lev">
    <w:name w:val="Strong"/>
    <w:basedOn w:val="Policepardfaut"/>
    <w:uiPriority w:val="22"/>
    <w:qFormat/>
    <w:rsid w:val="001F2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0721&amp;dateTexte=29990101&amp;categorieLien=cid" TargetMode="External"/><Relationship Id="rId13" Type="http://schemas.openxmlformats.org/officeDocument/2006/relationships/hyperlink" Target="https://www.legifrance.gouv.fr/affichCodeArticle.do?cidTexte=LEGITEXT000006072050&amp;idArticle=LEGIARTI000018494226&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 TargetMode="External"/><Relationship Id="rId12" Type="http://schemas.openxmlformats.org/officeDocument/2006/relationships/hyperlink" Target="https://www.legifrance.gouv.fr/affichTexteArticle.do;jsessionid=43506E73E24C5BADFECB79ADF5190A09.tplgfr23s_1?idArticle=JORFARTI000042056546&amp;cidTexte=JORFTEXT000042056541&amp;dateTexte=29990101&amp;categorieLien=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france.gouv.fr/eli/decret/2020/6/29/2020-810/jo/texte" TargetMode="External"/><Relationship Id="rId11" Type="http://schemas.openxmlformats.org/officeDocument/2006/relationships/hyperlink" Target="https://www.legifrance.gouv.fr/affichTexte.do?cidTexte=JORFTEXT000042032623&amp;categorieLien=cid" TargetMode="External"/><Relationship Id="rId5" Type="http://schemas.openxmlformats.org/officeDocument/2006/relationships/hyperlink" Target="https://www.legifrance.gouv.fr/eli/decret/2020/6/29/MTRD2016242D/jo/texte" TargetMode="External"/><Relationship Id="rId15" Type="http://schemas.openxmlformats.org/officeDocument/2006/relationships/fontTable" Target="fontTable.xml"/><Relationship Id="rId10" Type="http://schemas.openxmlformats.org/officeDocument/2006/relationships/hyperlink" Target="https://www.legifrance.gouv.fr/affichTexte.do?cidTexte=JORFTEXT000042007059&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do?cidTexte=LEGITEXT000006072050&amp;dateTexte=29990101&amp;categorieLien=cid" TargetMode="External"/><Relationship Id="rId14" Type="http://schemas.openxmlformats.org/officeDocument/2006/relationships/hyperlink" Target="https://www.legifrance.gouv.fr/affichTexteArticle.do?cidTexte=JORFTEXT000042032623&amp;idArticle=JORFARTI000042032624&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8455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THEVENET</dc:creator>
  <cp:keywords/>
  <dc:description/>
  <cp:lastModifiedBy>Françoise THEVENET</cp:lastModifiedBy>
  <cp:revision>1</cp:revision>
  <dcterms:created xsi:type="dcterms:W3CDTF">2020-06-30T09:08:00Z</dcterms:created>
  <dcterms:modified xsi:type="dcterms:W3CDTF">2020-06-30T09:09:00Z</dcterms:modified>
</cp:coreProperties>
</file>